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65FD" w14:textId="77777777"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14:paraId="7D8D65FE" w14:textId="77777777"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11.9.2020</w:t>
      </w:r>
    </w:p>
    <w:p w14:paraId="7D8D65FF" w14:textId="77777777"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14:paraId="7D8D6600" w14:textId="77777777" w:rsidR="00E85CDB" w:rsidRPr="00E67DC8" w:rsidRDefault="00565783">
      <w:pPr>
        <w:pStyle w:val="Podnadpis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14:paraId="7D8D6601" w14:textId="77777777"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14:paraId="7D8D6602" w14:textId="77777777"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14:paraId="7D8D6603" w14:textId="77777777"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14:paraId="7D8D6604" w14:textId="77777777"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14:paraId="7D8D6605" w14:textId="77777777"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14:paraId="7D8D6606" w14:textId="77777777"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14:paraId="7D8D6607" w14:textId="77777777" w:rsidR="00E85CDB" w:rsidRPr="00C55AA5" w:rsidRDefault="007D5A25">
      <w:pPr>
        <w:pStyle w:val="Podnadpis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infektu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14:paraId="7D8D6608" w14:textId="77777777"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14:paraId="7D8D6609" w14:textId="77777777"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14:paraId="7D8D660A" w14:textId="77777777"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14:paraId="7D8D660B" w14:textId="77777777" w:rsidR="00595EE9" w:rsidRPr="00EE0DDA" w:rsidRDefault="00595EE9" w:rsidP="00595EE9">
      <w:pPr>
        <w:pStyle w:val="Podnadpis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14:paraId="7D8D660C" w14:textId="77777777"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14:paraId="7D8D660D" w14:textId="77777777"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14:paraId="7D8D660E" w14:textId="77777777"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14:paraId="7D8D660F" w14:textId="77777777"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14:paraId="7D8D6610" w14:textId="77777777" w:rsidR="00595EE9" w:rsidRPr="00E149B9" w:rsidRDefault="008D3F6F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14:paraId="7D8D6611" w14:textId="77777777"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14:paraId="7D8D6612" w14:textId="77777777"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14:paraId="7D8D6613" w14:textId="77777777"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14:paraId="7D8D6614" w14:textId="77777777"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14:paraId="7D8D6615" w14:textId="77777777"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14:paraId="7D8D6616" w14:textId="77777777"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14:paraId="7D8D6617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14:paraId="7D8D6618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14:paraId="7D8D6619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14:paraId="7D8D661A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14:paraId="7D8D661B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14:paraId="7D8D661C" w14:textId="77777777"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14:paraId="7D8D661D" w14:textId="77777777"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virucidním účinkem.</w:t>
      </w:r>
    </w:p>
    <w:p w14:paraId="7D8D661E" w14:textId="77777777" w:rsidR="000E200C" w:rsidRDefault="000E200C" w:rsidP="000E200C">
      <w:pPr>
        <w:ind w:left="360"/>
        <w:jc w:val="both"/>
      </w:pPr>
    </w:p>
    <w:p w14:paraId="7D8D661F" w14:textId="77777777" w:rsidR="0017606D" w:rsidRPr="00E149B9" w:rsidRDefault="0017606D" w:rsidP="000E200C">
      <w:pPr>
        <w:ind w:left="360"/>
        <w:jc w:val="both"/>
      </w:pPr>
    </w:p>
    <w:p w14:paraId="7D8D6620" w14:textId="77777777"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lastRenderedPageBreak/>
        <w:t xml:space="preserve">Projevy akutního infekčního onemocnění </w:t>
      </w:r>
    </w:p>
    <w:p w14:paraId="7D8D6621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teplota </w:t>
      </w:r>
    </w:p>
    <w:p w14:paraId="7D8D6622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14:paraId="7D8D6623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14:paraId="7D8D6624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14:paraId="7D8D6625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14:paraId="7D8D6626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14:paraId="7D8D6627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14:paraId="7D8D6628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14:paraId="7D8D6629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14:paraId="7D8D662A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(serózní-„vodová“)</w:t>
      </w:r>
    </w:p>
    <w:p w14:paraId="7D8D662B" w14:textId="77777777"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14:paraId="7D8D662C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14:paraId="7D8D662D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14:paraId="7D8D662E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14:paraId="7D8D662F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14:paraId="7D8D6630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14:paraId="7D8D6631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14:paraId="7D8D6632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14:paraId="7D8D6633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14:paraId="7D8D6634" w14:textId="77777777"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14:paraId="7D8D6635" w14:textId="77777777" w:rsidR="00595EE9" w:rsidRPr="00E149B9" w:rsidRDefault="00595EE9" w:rsidP="00595EE9">
      <w:pPr>
        <w:pStyle w:val="Odstavecseseznamem"/>
      </w:pPr>
    </w:p>
    <w:p w14:paraId="7D8D6636" w14:textId="77777777"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14:paraId="7D8D6637" w14:textId="77777777" w:rsidR="00EE0DDA" w:rsidRPr="00E149B9" w:rsidRDefault="00EE0DDA" w:rsidP="009B5BD9">
      <w:pPr>
        <w:pStyle w:val="Nadpis2"/>
      </w:pPr>
    </w:p>
    <w:p w14:paraId="7D8D6638" w14:textId="77777777"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st.C i bez dalších projevů onemocnění. </w:t>
      </w:r>
    </w:p>
    <w:p w14:paraId="7D8D6639" w14:textId="77777777"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14:paraId="7D8D663A" w14:textId="77777777"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14:paraId="7D8D663B" w14:textId="77777777"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14:paraId="7D8D663C" w14:textId="77777777"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14:paraId="7D8D663D" w14:textId="77777777"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14:paraId="7D8D663E" w14:textId="77777777"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14:paraId="7D8D663F" w14:textId="77777777"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14:paraId="7D8D6640" w14:textId="77777777"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14:paraId="7D8D6641" w14:textId="77777777"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14:paraId="7D8D6642" w14:textId="77777777"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14:paraId="7D8D6643" w14:textId="77777777"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virucidním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14:paraId="7D8D6644" w14:textId="77777777"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14:paraId="7D8D6645" w14:textId="77777777"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14:paraId="7D8D6646" w14:textId="77777777" w:rsidR="00E85CDB" w:rsidRDefault="00E85CDB" w:rsidP="00E149B9">
      <w:pPr>
        <w:pStyle w:val="Odstavecseseznamem"/>
      </w:pPr>
    </w:p>
    <w:p w14:paraId="7D8D6647" w14:textId="77777777" w:rsidR="00E85CDB" w:rsidRDefault="007D5A25" w:rsidP="00E149B9">
      <w:pPr>
        <w:pStyle w:val="Odstavecseseznamem"/>
      </w:pPr>
      <w:r>
        <w:t xml:space="preserve">Zdroje: </w:t>
      </w:r>
    </w:p>
    <w:p w14:paraId="7D8D6648" w14:textId="77777777" w:rsidR="00E85CDB" w:rsidRDefault="007D5A25">
      <w:pPr>
        <w:pStyle w:val="Odstavecseseznamem"/>
      </w:pPr>
      <w:r>
        <w:t xml:space="preserve">- Posfay-Barbe KM, et al., COVID-19 in Children and the Dynamics of Infection in Families, </w:t>
      </w:r>
      <w:r>
        <w:rPr>
          <w:rStyle w:val="Zdraznn1"/>
        </w:rPr>
        <w:t>Pediatrics</w:t>
      </w:r>
      <w:r>
        <w:t>. May 26, 2020, https://doi.org/10.1542/peds.2020-1576</w:t>
      </w:r>
    </w:p>
    <w:p w14:paraId="7D8D6649" w14:textId="77777777" w:rsidR="00E85CDB" w:rsidRDefault="007D5A25">
      <w:pPr>
        <w:pStyle w:val="Odstavecseseznamem"/>
      </w:pPr>
      <w:r>
        <w:t xml:space="preserve">- Zimmermann P., COVID-19 in Children, Pregnancy and Neonates, </w:t>
      </w:r>
      <w:r>
        <w:rPr>
          <w:b/>
          <w:bCs/>
          <w:color w:val="000000"/>
        </w:rPr>
        <w:t xml:space="preserve"> </w:t>
      </w:r>
      <w:r>
        <w:t>The Pediatric Infectious Disease Journal: June 2020, vol 39, issue 6, p 469-477, doi: 10.1097/INF.0000000000002700</w:t>
      </w:r>
    </w:p>
    <w:p w14:paraId="7D8D664A" w14:textId="77777777"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Xing Y, Ni W, Wu Q, et al. Prolonged presence of SARS-CoV-2 in feces of pediatric patients during the convalescent phase. MedRxiv. 2020, https://doi.org/10.1101/2020.03.11.20033159 </w:t>
      </w:r>
    </w:p>
    <w:p w14:paraId="7D8D664B" w14:textId="77777777"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2" w:name="page-title1"/>
      <w:bookmarkEnd w:id="2"/>
      <w:r>
        <w:rPr>
          <w:color w:val="000000"/>
        </w:rPr>
        <w:t xml:space="preserve">Susceptibility to and transmission of COVID-19 amongst children and adolescents compared with adults: a systematic review and meta-analysis, </w:t>
      </w:r>
    </w:p>
    <w:p w14:paraId="7D8D664C" w14:textId="77777777" w:rsidR="00E85CDB" w:rsidRDefault="007D5A25">
      <w:pPr>
        <w:pStyle w:val="Odstavecseseznamem"/>
      </w:pPr>
      <w:r>
        <w:rPr>
          <w:color w:val="000000"/>
        </w:rPr>
        <w:t xml:space="preserve">doi: https://doi.org/10.1101/2020.05.20.20108126 </w:t>
      </w:r>
    </w:p>
    <w:p w14:paraId="7D8D664D" w14:textId="77777777"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6650" w14:textId="77777777" w:rsidR="00D36EFE" w:rsidRDefault="00D36EFE">
      <w:pPr>
        <w:spacing w:after="0" w:line="240" w:lineRule="auto"/>
      </w:pPr>
      <w:r>
        <w:separator/>
      </w:r>
    </w:p>
  </w:endnote>
  <w:endnote w:type="continuationSeparator" w:id="0">
    <w:p w14:paraId="7D8D6651" w14:textId="77777777" w:rsidR="00D36EFE" w:rsidRDefault="00D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D664E" w14:textId="77777777" w:rsidR="00D36EFE" w:rsidRDefault="00D36EFE">
      <w:r>
        <w:separator/>
      </w:r>
    </w:p>
  </w:footnote>
  <w:footnote w:type="continuationSeparator" w:id="0">
    <w:p w14:paraId="7D8D664F" w14:textId="77777777" w:rsidR="00D36EFE" w:rsidRDefault="00D36EFE">
      <w:r>
        <w:continuationSeparator/>
      </w:r>
    </w:p>
  </w:footnote>
  <w:footnote w:id="1">
    <w:p w14:paraId="7D8D6652" w14:textId="77777777"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1" w:name="page-title"/>
      <w:bookmarkEnd w:id="1"/>
      <w:r>
        <w:t xml:space="preserve">Susceptibility to and transmission of COVID-19 amongst children and adolescents compared with adults: a systematic review and meta-analysis, </w:t>
      </w:r>
    </w:p>
    <w:p w14:paraId="7D8D6653" w14:textId="77777777" w:rsidR="00E85CDB" w:rsidRDefault="007D5A25">
      <w:pPr>
        <w:pStyle w:val="Textpoznpodarou"/>
      </w:pPr>
      <w:r>
        <w:tab/>
        <w:t xml:space="preserve">doi: https://doi.org/10.1101/2020.05.20.20108126 </w:t>
      </w:r>
    </w:p>
    <w:p w14:paraId="7D8D6654" w14:textId="77777777" w:rsidR="00E85CDB" w:rsidRDefault="00E85CDB">
      <w:pPr>
        <w:pStyle w:val="Textpoznpodarou"/>
      </w:pPr>
    </w:p>
  </w:footnote>
  <w:footnote w:id="2">
    <w:p w14:paraId="7D8D6655" w14:textId="77777777"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14:paraId="7D8D6656" w14:textId="77777777" w:rsidR="00514282" w:rsidRDefault="00514282" w:rsidP="009B5BD9">
      <w:pPr>
        <w:pStyle w:val="Textpoznpodarou"/>
      </w:pPr>
    </w:p>
    <w:p w14:paraId="7D8D6657" w14:textId="77777777" w:rsidR="00514282" w:rsidRDefault="00514282" w:rsidP="009B5BD9">
      <w:pPr>
        <w:pStyle w:val="Textpoznpodarou"/>
      </w:pPr>
      <w:r>
        <w:t xml:space="preserve">Dítě = dítě, žák, student </w:t>
      </w:r>
    </w:p>
    <w:p w14:paraId="7D8D6658" w14:textId="77777777"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7606D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14F1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31731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36EFE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65FD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nadpis">
    <w:name w:val="Subtitle"/>
    <w:basedOn w:val="Normln"/>
    <w:link w:val="Podnadpis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235D-BCD4-43DA-9D49-A4444C57C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A7F40-3D2C-49DB-9542-0BF847E8136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3252B4F-EE8B-41EB-A881-997EE95D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584CAA-53AB-4684-BE22-BD247682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Zíma</dc:creator>
  <cp:lastModifiedBy>Hulka</cp:lastModifiedBy>
  <cp:revision>2</cp:revision>
  <cp:lastPrinted>2020-09-07T09:54:00Z</cp:lastPrinted>
  <dcterms:created xsi:type="dcterms:W3CDTF">2020-09-17T14:20:00Z</dcterms:created>
  <dcterms:modified xsi:type="dcterms:W3CDTF">2020-09-17T14:20:00Z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